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</w:rPr>
      </w:pPr>
      <w:bookmarkStart w:id="0" w:name="_Toc23852"/>
      <w:bookmarkStart w:id="1" w:name="_Toc10624"/>
      <w:r>
        <w:rPr>
          <w:rFonts w:hint="eastAsia"/>
        </w:rPr>
        <w:t>山东协和学院关工委“爱在协和”工程建设工作制度</w:t>
      </w:r>
      <w:bookmarkEnd w:id="0"/>
      <w:bookmarkEnd w:id="1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jc w:val="center"/>
        <w:textAlignment w:val="baseline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（2023年5月25日）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80" w:firstLineChars="200"/>
        <w:textAlignment w:val="baseline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为扎实推进“爱在协和”工程建设工作，促进十项内容落实，不断提升关爱行动高质量发展，特制定六项工作制度。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80" w:firstLineChars="200"/>
        <w:textAlignment w:val="baseline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一、学习制度。学习习近平新时代中国特色社会主义思想，上级关工委有关工作指示精神</w:t>
      </w:r>
      <w:r>
        <w:rPr>
          <w:rFonts w:hint="eastAsia" w:asciiTheme="minorEastAsia" w:hAnsiTheme="minorEastAsia" w:eastAsiaTheme="minorEastAsia" w:cstheme="minorEastAsia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</w:rPr>
        <w:t>校党委有关政策规定。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80" w:firstLineChars="200"/>
        <w:textAlignment w:val="baseline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二、工作计划制度。关工委每年制定年度工作规划、各阶段工作计划，审核各分委工作计划。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80" w:firstLineChars="200"/>
        <w:textAlignment w:val="baseline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三、会议议事制度。每阶段组织讲评会，听取工作汇报，分析研究问题，部署下步工作。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80" w:firstLineChars="200"/>
        <w:textAlignment w:val="baseline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四、活动开展制度。按照经常化、规范化要求，围绕关爱行动十项内容，组织开展各类配合活动。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80" w:firstLineChars="200"/>
        <w:textAlignment w:val="baseline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五、总结交流制度。总结交流经验，组织观摩评比，采取多种形式组织宣传和表彰先进典型。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80" w:firstLineChars="200"/>
        <w:textAlignment w:val="baseline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</w:rPr>
        <w:t>六、领导帮抓制度。按照领导责任分工帮抓，校关工委领导每年下基层帮抓不少于三次，实地发现解决问题，形成专门调研报告。</w:t>
      </w:r>
      <w:bookmarkStart w:id="2" w:name="_GoBack"/>
      <w:bookmarkEnd w:id="2"/>
    </w:p>
    <w:sectPr>
      <w:headerReference r:id="rId5" w:type="default"/>
      <w:footerReference r:id="rId6" w:type="default"/>
      <w:pgSz w:w="12240" w:h="15840"/>
      <w:pgMar w:top="1440" w:right="1247" w:bottom="1440" w:left="1247" w:header="850" w:footer="992" w:gutter="0"/>
      <w:pgNumType w:fmt="decimal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6" name="文本框 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368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EyFQwzAgAAYwQAAA4AAABkcnMvZTJvRG9jLnhtbK1UzY7TMBC+I/EO&#10;lu80aYGqqpquylZFSBW7UkGcXcdpIvlPttukPAC8AScu3Pe5+hx8zk8XLRz2wMUZe8bf+PtmJoub&#10;RklyEs5XRmd0PEopEZqbvNKHjH7+tHk1o8QHpnMmjRYZPQtPb5YvXyxqOxcTUxqZC0cAov28thkt&#10;Q7DzJPG8FIr5kbFCw1kYp1jA1h2S3LEa6EomkzSdJrVxuXWGC+9xuu6ctEd0zwE0RVFxsTb8qIQO&#10;HaoTkgVQ8mVlPV22ry0KwcNdUXgRiMwomIZ2RRLY+7gmywWbHxyzZcX7J7DnPOEJJ8UqjaRXqDUL&#10;jBxd9ReUqrgz3hRhxI1KOiKtImAxTp9osyuZFS0XSO3tVXT//2D5x9O9I1We0TdTSjRTqPjlx/fL&#10;z4fLr28EZxCotn6OuJ1FZGjemQZtM5x7HEbeTeFU/IIRgR/ynq/yiiYQHi/NJrNZCheHb9gAP3m8&#10;bp0P74VRJBoZdahfKys7bX3oQoeQmE2bTSVlW0OpSZ3R6eu3aXvh6gG41MgRSXSPjVZo9k3PbG/y&#10;M4g50/WGt3xTIfmW+XDPHJoBD8a4hDsshTRIYnqLktK4r/86j/GoEbyU1GiujGrMEiXyg0btABgG&#10;ww3GfjD0Ud0adOsYY2h5a+KCC3IwC2fUF8zQKuaAi2mOTBkNg3kbugbHDHKxWrVBR+uqQ9ldQOdZ&#10;FrZ6Z3lME4X0dnUMELPVOArUqdLrht5rq9TPSWzuP/dt1OO/Yfk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EyFQw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368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