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常用公文种类及其适用范围</w:t>
      </w:r>
      <w:bookmarkEnd w:id="0"/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根据《党政机关公文处理工作条例及山东省实施办法》相关规定，结合工作实际，学校常用公文种类有决议、决定、通告、意见、通知、通报、报告、请示、批复、函、纪要等。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（一）决议。适用于会议讨论通过的重大决策事项。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（二）决定，适用于对重要事项的决策和部署、奖惩有关单位和人员、变更或者撤销下级机关不适当的决定事项。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（三）通告。适用于在一定范围内公布应当遵守或者周知的事项。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（四）意见。适用于对重要问题提出见解和处理办法。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（五）通知。适用于发布、传达要求下级执行和有关单位周知或执行的事项，批转、转发公文。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（六）通报。适用于表彰先进、批评错 误，传达重要精神和告知重要情况。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（七）报告。适用于向上级机关汇报工作、反映情况，回复上级机关的询问。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（八）请示。适用于向上级机关请求指示、批准。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（九）批复。适用于答复下级机关请示事项。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（十）函。适用于不相隶属机关之间商治工作、询问和答复问题、请求批准和答复审批事项。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（十一）纪要。适用于记载会议主要情况和议定事项。</w:t>
      </w:r>
    </w:p>
    <w:sectPr>
      <w:footerReference r:id="rId3" w:type="default"/>
      <w:footerReference r:id="rId4" w:type="even"/>
      <w:pgSz w:w="11906" w:h="16838"/>
      <w:pgMar w:top="1644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3516978"/>
      <w:docPartObj>
        <w:docPartGallery w:val="autotext"/>
      </w:docPartObj>
    </w:sdtPr>
    <w:sdtContent>
      <w:p>
        <w:pPr>
          <w:pStyle w:val="6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t>—</w:t>
    </w:r>
    <w:sdt>
      <w:sdtPr>
        <w:id w:val="-892656889"/>
        <w:docPartObj>
          <w:docPartGallery w:val="autotext"/>
        </w:docPartObj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  <w:r>
          <w:rPr>
            <w:rFonts w:hint="eastAsia"/>
          </w:rPr>
          <w:t>—</w:t>
        </w:r>
      </w:sdtContent>
    </w:sdt>
  </w:p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5258A-0ACC-423C-9AAD-66C6E27FE5BC}">
  <ds:schemaRefs/>
</ds:datastoreItem>
</file>