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8AD" w:rsidRDefault="000468AD" w:rsidP="000468AD">
      <w:pPr>
        <w:widowControl/>
        <w:topLinePunct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Cs/>
          <w:kern w:val="0"/>
          <w:sz w:val="28"/>
          <w:szCs w:val="28"/>
        </w:rPr>
        <w:t>附件三：</w:t>
      </w:r>
    </w:p>
    <w:p w:rsidR="000468AD" w:rsidRDefault="000468AD" w:rsidP="000468AD">
      <w:pPr>
        <w:topLinePunct/>
        <w:jc w:val="center"/>
        <w:rPr>
          <w:rFonts w:ascii="宋体" w:hAnsi="宋体" w:cs="宋体"/>
          <w:sz w:val="36"/>
          <w:szCs w:val="36"/>
        </w:rPr>
      </w:pPr>
      <w:r>
        <w:rPr>
          <w:rFonts w:ascii="宋体" w:hAnsi="宋体" w:cs="宋体" w:hint="eastAsia"/>
          <w:sz w:val="36"/>
          <w:szCs w:val="36"/>
        </w:rPr>
        <w:t>山东协和学院大学生创业设计大赛</w:t>
      </w:r>
    </w:p>
    <w:p w:rsidR="000468AD" w:rsidRDefault="000468AD" w:rsidP="000468AD">
      <w:pPr>
        <w:topLinePunct/>
        <w:jc w:val="center"/>
        <w:rPr>
          <w:rFonts w:ascii="宋体" w:hAnsi="宋体" w:cs="宋体"/>
          <w:sz w:val="36"/>
          <w:szCs w:val="36"/>
        </w:rPr>
      </w:pPr>
      <w:r>
        <w:rPr>
          <w:rFonts w:ascii="宋体" w:hAnsi="宋体" w:cs="宋体" w:hint="eastAsia"/>
          <w:sz w:val="36"/>
          <w:szCs w:val="36"/>
        </w:rPr>
        <w:t>书面作品评分标准</w:t>
      </w:r>
    </w:p>
    <w:tbl>
      <w:tblPr>
        <w:tblStyle w:val="a5"/>
        <w:tblW w:w="8522" w:type="dxa"/>
        <w:tblLayout w:type="fixed"/>
        <w:tblLook w:val="04A0" w:firstRow="1" w:lastRow="0" w:firstColumn="1" w:lastColumn="0" w:noHBand="0" w:noVBand="1"/>
      </w:tblPr>
      <w:tblGrid>
        <w:gridCol w:w="1242"/>
        <w:gridCol w:w="1786"/>
        <w:gridCol w:w="4735"/>
        <w:gridCol w:w="759"/>
      </w:tblGrid>
      <w:tr w:rsidR="000468AD" w:rsidTr="00CC2690">
        <w:trPr>
          <w:trHeight w:val="526"/>
        </w:trPr>
        <w:tc>
          <w:tcPr>
            <w:tcW w:w="1242" w:type="dxa"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评分要素</w:t>
            </w:r>
          </w:p>
        </w:tc>
        <w:tc>
          <w:tcPr>
            <w:tcW w:w="1786" w:type="dxa"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评分要点</w:t>
            </w:r>
          </w:p>
        </w:tc>
        <w:tc>
          <w:tcPr>
            <w:tcW w:w="4735" w:type="dxa"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具体描述</w:t>
            </w:r>
          </w:p>
        </w:tc>
        <w:tc>
          <w:tcPr>
            <w:tcW w:w="759" w:type="dxa"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分值</w:t>
            </w:r>
          </w:p>
        </w:tc>
      </w:tr>
      <w:tr w:rsidR="000468AD" w:rsidTr="00CC2690">
        <w:tc>
          <w:tcPr>
            <w:tcW w:w="1242" w:type="dxa"/>
            <w:vMerge w:val="restart"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创业计划书内容</w:t>
            </w:r>
          </w:p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90分</w:t>
            </w:r>
          </w:p>
        </w:tc>
        <w:tc>
          <w:tcPr>
            <w:tcW w:w="1786" w:type="dxa"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项目描述</w:t>
            </w:r>
          </w:p>
        </w:tc>
        <w:tc>
          <w:tcPr>
            <w:tcW w:w="4735" w:type="dxa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项目宗旨、背景、介绍</w:t>
            </w:r>
          </w:p>
        </w:tc>
        <w:tc>
          <w:tcPr>
            <w:tcW w:w="759" w:type="dxa"/>
            <w:vAlign w:val="center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10分</w:t>
            </w:r>
          </w:p>
        </w:tc>
      </w:tr>
      <w:tr w:rsidR="000468AD" w:rsidTr="00CC2690">
        <w:tc>
          <w:tcPr>
            <w:tcW w:w="1242" w:type="dxa"/>
            <w:vMerge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1786" w:type="dxa"/>
            <w:vMerge w:val="restart"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产品服务及介绍</w:t>
            </w:r>
          </w:p>
        </w:tc>
        <w:tc>
          <w:tcPr>
            <w:tcW w:w="4735" w:type="dxa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1.清晰的产业背景和市场竞争环境；市场机会和有效的市场需求</w:t>
            </w:r>
          </w:p>
        </w:tc>
        <w:tc>
          <w:tcPr>
            <w:tcW w:w="759" w:type="dxa"/>
            <w:vMerge w:val="restart"/>
            <w:vAlign w:val="center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15分</w:t>
            </w:r>
          </w:p>
        </w:tc>
      </w:tr>
      <w:tr w:rsidR="000468AD" w:rsidTr="00CC2690">
        <w:tc>
          <w:tcPr>
            <w:tcW w:w="1242" w:type="dxa"/>
            <w:vMerge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1786" w:type="dxa"/>
            <w:vMerge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4735" w:type="dxa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2.准确定义所提供的产品、技术、概念产品和服务</w:t>
            </w:r>
          </w:p>
        </w:tc>
        <w:tc>
          <w:tcPr>
            <w:tcW w:w="759" w:type="dxa"/>
            <w:vMerge/>
            <w:vAlign w:val="center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</w:p>
        </w:tc>
      </w:tr>
      <w:tr w:rsidR="000468AD" w:rsidTr="00CC2690">
        <w:tc>
          <w:tcPr>
            <w:tcW w:w="1242" w:type="dxa"/>
            <w:vMerge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1786" w:type="dxa"/>
            <w:vMerge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4735" w:type="dxa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3.本项目所具有的独创性、领先性；实现产业化的途径等</w:t>
            </w:r>
          </w:p>
        </w:tc>
        <w:tc>
          <w:tcPr>
            <w:tcW w:w="759" w:type="dxa"/>
            <w:vMerge/>
            <w:vAlign w:val="center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</w:p>
        </w:tc>
      </w:tr>
      <w:tr w:rsidR="000468AD" w:rsidTr="00CC2690">
        <w:tc>
          <w:tcPr>
            <w:tcW w:w="1242" w:type="dxa"/>
            <w:vMerge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1786" w:type="dxa"/>
            <w:vMerge w:val="restart"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行业与市场分析</w:t>
            </w:r>
          </w:p>
        </w:tc>
        <w:tc>
          <w:tcPr>
            <w:tcW w:w="4735" w:type="dxa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1.了解参赛创业项目的市场现状，并对目标市场进行较明确定位</w:t>
            </w:r>
          </w:p>
        </w:tc>
        <w:tc>
          <w:tcPr>
            <w:tcW w:w="759" w:type="dxa"/>
            <w:vMerge w:val="restart"/>
            <w:vAlign w:val="center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</w:p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15分</w:t>
            </w:r>
          </w:p>
        </w:tc>
      </w:tr>
      <w:tr w:rsidR="000468AD" w:rsidTr="00CC2690">
        <w:tc>
          <w:tcPr>
            <w:tcW w:w="1242" w:type="dxa"/>
            <w:vMerge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1786" w:type="dxa"/>
            <w:vMerge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4735" w:type="dxa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2.针对顾客现实需求进行分析，确定顾客购买原则</w:t>
            </w:r>
          </w:p>
        </w:tc>
        <w:tc>
          <w:tcPr>
            <w:tcW w:w="759" w:type="dxa"/>
            <w:vMerge/>
            <w:vAlign w:val="center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</w:p>
        </w:tc>
      </w:tr>
      <w:tr w:rsidR="000468AD" w:rsidTr="00CC2690">
        <w:tc>
          <w:tcPr>
            <w:tcW w:w="1242" w:type="dxa"/>
            <w:vMerge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1786" w:type="dxa"/>
            <w:vMerge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4735" w:type="dxa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3.对竞争对手进行准确分析，制定竞争策略，避免壁垒</w:t>
            </w:r>
          </w:p>
        </w:tc>
        <w:tc>
          <w:tcPr>
            <w:tcW w:w="759" w:type="dxa"/>
            <w:vMerge/>
            <w:vAlign w:val="center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</w:p>
        </w:tc>
      </w:tr>
      <w:tr w:rsidR="000468AD" w:rsidTr="00CC2690">
        <w:tc>
          <w:tcPr>
            <w:tcW w:w="1242" w:type="dxa"/>
            <w:vMerge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1786" w:type="dxa"/>
            <w:vMerge w:val="restart"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公司战略及营销策略</w:t>
            </w:r>
          </w:p>
        </w:tc>
        <w:tc>
          <w:tcPr>
            <w:tcW w:w="4735" w:type="dxa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1.具有具体的市场计划，对业务类型，市场层面，分销渠道及类型，市场占有率等进行定位</w:t>
            </w:r>
          </w:p>
        </w:tc>
        <w:tc>
          <w:tcPr>
            <w:tcW w:w="759" w:type="dxa"/>
            <w:vMerge w:val="restart"/>
            <w:vAlign w:val="center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</w:p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</w:p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15分</w:t>
            </w:r>
          </w:p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</w:p>
        </w:tc>
      </w:tr>
      <w:tr w:rsidR="000468AD" w:rsidTr="00CC2690">
        <w:tc>
          <w:tcPr>
            <w:tcW w:w="1242" w:type="dxa"/>
            <w:vMerge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1786" w:type="dxa"/>
            <w:vMerge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4735" w:type="dxa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2.明确销售策略，明晰销售渠道及伙伴，具有适度的销售周期</w:t>
            </w:r>
          </w:p>
        </w:tc>
        <w:tc>
          <w:tcPr>
            <w:tcW w:w="759" w:type="dxa"/>
            <w:vMerge/>
            <w:vAlign w:val="center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</w:p>
        </w:tc>
      </w:tr>
      <w:tr w:rsidR="000468AD" w:rsidTr="00CC2690">
        <w:tc>
          <w:tcPr>
            <w:tcW w:w="1242" w:type="dxa"/>
            <w:vMerge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1786" w:type="dxa"/>
            <w:vMerge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4735" w:type="dxa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3.定价策略制定具有客观性，市场弹性强度佳</w:t>
            </w:r>
          </w:p>
        </w:tc>
        <w:tc>
          <w:tcPr>
            <w:tcW w:w="759" w:type="dxa"/>
            <w:vMerge/>
            <w:vAlign w:val="center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</w:p>
        </w:tc>
      </w:tr>
      <w:tr w:rsidR="000468AD" w:rsidTr="00CC2690">
        <w:trPr>
          <w:trHeight w:val="461"/>
        </w:trPr>
        <w:tc>
          <w:tcPr>
            <w:tcW w:w="1242" w:type="dxa"/>
            <w:vMerge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1786" w:type="dxa"/>
            <w:vMerge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4735" w:type="dxa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4.市场联络形式多样新颖，符合产品营销计划</w:t>
            </w:r>
          </w:p>
        </w:tc>
        <w:tc>
          <w:tcPr>
            <w:tcW w:w="759" w:type="dxa"/>
            <w:vMerge/>
            <w:vAlign w:val="center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</w:p>
        </w:tc>
      </w:tr>
      <w:tr w:rsidR="000468AD" w:rsidTr="00CC2690">
        <w:tc>
          <w:tcPr>
            <w:tcW w:w="1242" w:type="dxa"/>
            <w:vMerge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团队能力和经营管理</w:t>
            </w:r>
          </w:p>
        </w:tc>
        <w:tc>
          <w:tcPr>
            <w:tcW w:w="4735" w:type="dxa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对本公司的团队能力有清晰的认识。掌握并熟知本团队经营管理的特点，明确公司经营和组织结构情况。</w:t>
            </w:r>
          </w:p>
        </w:tc>
        <w:tc>
          <w:tcPr>
            <w:tcW w:w="759" w:type="dxa"/>
            <w:vAlign w:val="center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10分</w:t>
            </w:r>
          </w:p>
        </w:tc>
      </w:tr>
      <w:tr w:rsidR="000468AD" w:rsidTr="00CC2690">
        <w:tc>
          <w:tcPr>
            <w:tcW w:w="1242" w:type="dxa"/>
            <w:vMerge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1786" w:type="dxa"/>
            <w:vMerge w:val="restart"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资本管理</w:t>
            </w:r>
          </w:p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4735" w:type="dxa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有完善且符合实际的企业融资方案，并进行企业的资本回报率的测算。</w:t>
            </w:r>
          </w:p>
        </w:tc>
        <w:tc>
          <w:tcPr>
            <w:tcW w:w="759" w:type="dxa"/>
            <w:vMerge w:val="restart"/>
            <w:vAlign w:val="center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</w:p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10分</w:t>
            </w:r>
          </w:p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</w:p>
        </w:tc>
      </w:tr>
      <w:tr w:rsidR="000468AD" w:rsidTr="00CC2690">
        <w:tc>
          <w:tcPr>
            <w:tcW w:w="1242" w:type="dxa"/>
            <w:vMerge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1786" w:type="dxa"/>
            <w:vMerge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4735" w:type="dxa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财务计划完整详细，对现金流预测，盈亏平衡和资金需求情况进行准确的分析，并制作损益预估表、资产负债预估表</w:t>
            </w:r>
          </w:p>
        </w:tc>
        <w:tc>
          <w:tcPr>
            <w:tcW w:w="759" w:type="dxa"/>
            <w:vMerge/>
            <w:vAlign w:val="center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</w:p>
        </w:tc>
      </w:tr>
      <w:tr w:rsidR="000468AD" w:rsidTr="00CC2690">
        <w:tc>
          <w:tcPr>
            <w:tcW w:w="1242" w:type="dxa"/>
            <w:vMerge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实施进度计划</w:t>
            </w:r>
          </w:p>
        </w:tc>
        <w:tc>
          <w:tcPr>
            <w:tcW w:w="4735" w:type="dxa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短、中、长期目标</w:t>
            </w:r>
          </w:p>
        </w:tc>
        <w:tc>
          <w:tcPr>
            <w:tcW w:w="759" w:type="dxa"/>
            <w:vAlign w:val="center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5分</w:t>
            </w:r>
          </w:p>
        </w:tc>
      </w:tr>
      <w:tr w:rsidR="000468AD" w:rsidTr="00CC2690">
        <w:trPr>
          <w:trHeight w:val="434"/>
        </w:trPr>
        <w:tc>
          <w:tcPr>
            <w:tcW w:w="1242" w:type="dxa"/>
            <w:vMerge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风险控制</w:t>
            </w:r>
          </w:p>
        </w:tc>
        <w:tc>
          <w:tcPr>
            <w:tcW w:w="4735" w:type="dxa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具有针对市场风险的防范机制，防御策略实用有效</w:t>
            </w:r>
          </w:p>
        </w:tc>
        <w:tc>
          <w:tcPr>
            <w:tcW w:w="759" w:type="dxa"/>
            <w:vAlign w:val="center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10分</w:t>
            </w:r>
          </w:p>
        </w:tc>
      </w:tr>
      <w:tr w:rsidR="000468AD" w:rsidTr="00CC2690">
        <w:tc>
          <w:tcPr>
            <w:tcW w:w="1242" w:type="dxa"/>
            <w:vMerge w:val="restart"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总体设计</w:t>
            </w:r>
          </w:p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10分</w:t>
            </w:r>
          </w:p>
        </w:tc>
        <w:tc>
          <w:tcPr>
            <w:tcW w:w="1786" w:type="dxa"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作品完整性</w:t>
            </w:r>
          </w:p>
        </w:tc>
        <w:tc>
          <w:tcPr>
            <w:tcW w:w="4735" w:type="dxa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内容完整，对项目、市场现状、销售策略、服务、财务计划和风险控制等进行全面分析，提出自己完整的创业思路</w:t>
            </w:r>
          </w:p>
        </w:tc>
        <w:tc>
          <w:tcPr>
            <w:tcW w:w="759" w:type="dxa"/>
            <w:vMerge w:val="restart"/>
            <w:vAlign w:val="center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10分</w:t>
            </w:r>
          </w:p>
        </w:tc>
      </w:tr>
      <w:tr w:rsidR="000468AD" w:rsidTr="00CC2690">
        <w:tc>
          <w:tcPr>
            <w:tcW w:w="1242" w:type="dxa"/>
            <w:vMerge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作品思路和逻辑</w:t>
            </w:r>
          </w:p>
        </w:tc>
        <w:tc>
          <w:tcPr>
            <w:tcW w:w="4735" w:type="dxa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创业计划书设计思路清晰、逻辑合理，能准确把握创业计划书的核心与关键</w:t>
            </w:r>
          </w:p>
        </w:tc>
        <w:tc>
          <w:tcPr>
            <w:tcW w:w="759" w:type="dxa"/>
            <w:vMerge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</w:p>
        </w:tc>
      </w:tr>
      <w:tr w:rsidR="000468AD" w:rsidTr="00CC2690">
        <w:trPr>
          <w:trHeight w:val="393"/>
        </w:trPr>
        <w:tc>
          <w:tcPr>
            <w:tcW w:w="1242" w:type="dxa"/>
            <w:vMerge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0468AD" w:rsidRDefault="000468AD" w:rsidP="00CC2690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作品美观性</w:t>
            </w:r>
          </w:p>
        </w:tc>
        <w:tc>
          <w:tcPr>
            <w:tcW w:w="4735" w:type="dxa"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格式清晰，版面大方美观，创意新颖</w:t>
            </w:r>
          </w:p>
        </w:tc>
        <w:tc>
          <w:tcPr>
            <w:tcW w:w="759" w:type="dxa"/>
            <w:vMerge/>
          </w:tcPr>
          <w:p w:rsidR="000468AD" w:rsidRDefault="000468AD" w:rsidP="00CC2690">
            <w:pPr>
              <w:topLinePunct/>
              <w:rPr>
                <w:rFonts w:ascii="仿宋" w:eastAsia="仿宋" w:hAnsi="仿宋" w:cs="仿宋_GB2312"/>
                <w:szCs w:val="21"/>
              </w:rPr>
            </w:pPr>
          </w:p>
        </w:tc>
      </w:tr>
    </w:tbl>
    <w:p w:rsidR="000468AD" w:rsidRDefault="000468AD" w:rsidP="000468AD">
      <w:pPr>
        <w:widowControl/>
        <w:rPr>
          <w:rFonts w:eastAsia="黑体"/>
          <w:spacing w:val="-20"/>
          <w:sz w:val="44"/>
          <w:szCs w:val="44"/>
        </w:rPr>
      </w:pPr>
      <w:r>
        <w:rPr>
          <w:rFonts w:eastAsia="黑体"/>
          <w:spacing w:val="-20"/>
          <w:sz w:val="44"/>
          <w:szCs w:val="44"/>
        </w:rPr>
        <w:br w:type="page"/>
      </w:r>
    </w:p>
    <w:p w:rsidR="002A2572" w:rsidRPr="000468AD" w:rsidRDefault="002A2572">
      <w:bookmarkStart w:id="0" w:name="_GoBack"/>
      <w:bookmarkEnd w:id="0"/>
    </w:p>
    <w:sectPr w:rsidR="002A2572" w:rsidRPr="000468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47EB" w:rsidRDefault="000D47EB" w:rsidP="000468AD">
      <w:r>
        <w:separator/>
      </w:r>
    </w:p>
  </w:endnote>
  <w:endnote w:type="continuationSeparator" w:id="0">
    <w:p w:rsidR="000D47EB" w:rsidRDefault="000D47EB" w:rsidP="000468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47EB" w:rsidRDefault="000D47EB" w:rsidP="000468AD">
      <w:r>
        <w:separator/>
      </w:r>
    </w:p>
  </w:footnote>
  <w:footnote w:type="continuationSeparator" w:id="0">
    <w:p w:rsidR="000D47EB" w:rsidRDefault="000D47EB" w:rsidP="000468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C71"/>
    <w:rsid w:val="000468AD"/>
    <w:rsid w:val="000D47EB"/>
    <w:rsid w:val="002A2572"/>
    <w:rsid w:val="00DF4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8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68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68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68A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68AD"/>
    <w:rPr>
      <w:sz w:val="18"/>
      <w:szCs w:val="18"/>
    </w:rPr>
  </w:style>
  <w:style w:type="table" w:styleId="a5">
    <w:name w:val="Table Grid"/>
    <w:basedOn w:val="a1"/>
    <w:uiPriority w:val="59"/>
    <w:qFormat/>
    <w:rsid w:val="000468A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8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68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68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68A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68AD"/>
    <w:rPr>
      <w:sz w:val="18"/>
      <w:szCs w:val="18"/>
    </w:rPr>
  </w:style>
  <w:style w:type="table" w:styleId="a5">
    <w:name w:val="Table Grid"/>
    <w:basedOn w:val="a1"/>
    <w:uiPriority w:val="59"/>
    <w:qFormat/>
    <w:rsid w:val="000468A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王敬</dc:creator>
  <cp:keywords/>
  <dc:description/>
  <cp:lastModifiedBy>王敬</cp:lastModifiedBy>
  <cp:revision>2</cp:revision>
  <dcterms:created xsi:type="dcterms:W3CDTF">2017-10-11T01:51:00Z</dcterms:created>
  <dcterms:modified xsi:type="dcterms:W3CDTF">2017-10-11T01:51:00Z</dcterms:modified>
</cp:coreProperties>
</file>