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2645" w:rsidRPr="00CC087A" w:rsidRDefault="00D17E2A">
      <w:pPr>
        <w:widowControl/>
        <w:topLinePunct/>
        <w:rPr>
          <w:rFonts w:ascii="宋体" w:hAnsi="宋体" w:cs="宋体"/>
          <w:b/>
          <w:kern w:val="0"/>
          <w:sz w:val="24"/>
        </w:rPr>
      </w:pPr>
      <w:r w:rsidRPr="00CC087A">
        <w:rPr>
          <w:rFonts w:ascii="宋体" w:hAnsi="宋体" w:cs="宋体" w:hint="eastAsia"/>
          <w:bCs/>
          <w:kern w:val="0"/>
          <w:sz w:val="24"/>
        </w:rPr>
        <w:t>附件</w:t>
      </w:r>
      <w:r w:rsidR="00CC087A" w:rsidRPr="00CC087A">
        <w:rPr>
          <w:rFonts w:ascii="宋体" w:hAnsi="宋体" w:cs="宋体" w:hint="eastAsia"/>
          <w:bCs/>
          <w:kern w:val="0"/>
          <w:sz w:val="24"/>
        </w:rPr>
        <w:t>3</w:t>
      </w:r>
      <w:r w:rsidRPr="00CC087A">
        <w:rPr>
          <w:rFonts w:ascii="宋体" w:hAnsi="宋体" w:cs="宋体" w:hint="eastAsia"/>
          <w:bCs/>
          <w:kern w:val="0"/>
          <w:sz w:val="24"/>
        </w:rPr>
        <w:t>：</w:t>
      </w:r>
    </w:p>
    <w:p w:rsidR="002E2645" w:rsidRPr="002641AD" w:rsidRDefault="00D17E2A" w:rsidP="002641AD">
      <w:pPr>
        <w:topLinePunct/>
        <w:jc w:val="center"/>
        <w:rPr>
          <w:rFonts w:ascii="宋体" w:hAnsi="宋体" w:cs="宋体"/>
          <w:sz w:val="32"/>
          <w:szCs w:val="32"/>
        </w:rPr>
      </w:pPr>
      <w:bookmarkStart w:id="0" w:name="_GoBack"/>
      <w:r w:rsidRPr="002641AD">
        <w:rPr>
          <w:rFonts w:ascii="宋体" w:hAnsi="宋体" w:cs="宋体" w:hint="eastAsia"/>
          <w:sz w:val="32"/>
          <w:szCs w:val="32"/>
        </w:rPr>
        <w:t>第三届“创业协和人”大学生创业设计大赛</w:t>
      </w:r>
      <w:r w:rsidR="00CC087A" w:rsidRPr="002641AD">
        <w:rPr>
          <w:rFonts w:ascii="宋体" w:hAnsi="宋体" w:cs="宋体" w:hint="eastAsia"/>
          <w:sz w:val="32"/>
          <w:szCs w:val="32"/>
        </w:rPr>
        <w:t>评审</w:t>
      </w:r>
      <w:r w:rsidRPr="002641AD">
        <w:rPr>
          <w:rFonts w:ascii="宋体" w:hAnsi="宋体" w:cs="宋体" w:hint="eastAsia"/>
          <w:sz w:val="32"/>
          <w:szCs w:val="32"/>
        </w:rPr>
        <w:t>细则</w:t>
      </w:r>
    </w:p>
    <w:tbl>
      <w:tblPr>
        <w:tblStyle w:val="a3"/>
        <w:tblpPr w:leftFromText="180" w:rightFromText="180" w:vertAnchor="text" w:horzAnchor="page" w:tblpX="1792" w:tblpY="209"/>
        <w:tblOverlap w:val="never"/>
        <w:tblW w:w="852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1786"/>
        <w:gridCol w:w="4735"/>
        <w:gridCol w:w="759"/>
      </w:tblGrid>
      <w:tr w:rsidR="002E2645">
        <w:trPr>
          <w:trHeight w:val="526"/>
        </w:trPr>
        <w:tc>
          <w:tcPr>
            <w:tcW w:w="1242" w:type="dxa"/>
            <w:tcBorders>
              <w:tl2br w:val="nil"/>
              <w:tr2bl w:val="nil"/>
            </w:tcBorders>
            <w:vAlign w:val="center"/>
          </w:tcPr>
          <w:bookmarkEnd w:id="0"/>
          <w:p w:rsidR="002E2645" w:rsidRDefault="00D17E2A">
            <w:pPr>
              <w:topLinePunct/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>评分要素</w:t>
            </w:r>
          </w:p>
        </w:tc>
        <w:tc>
          <w:tcPr>
            <w:tcW w:w="1786" w:type="dxa"/>
            <w:tcBorders>
              <w:tl2br w:val="nil"/>
              <w:tr2bl w:val="nil"/>
            </w:tcBorders>
            <w:vAlign w:val="center"/>
          </w:tcPr>
          <w:p w:rsidR="002E2645" w:rsidRDefault="00D17E2A">
            <w:pPr>
              <w:topLinePunct/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>评分要点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:rsidR="002E2645" w:rsidRDefault="00D17E2A">
            <w:pPr>
              <w:topLinePunct/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>具体描述</w:t>
            </w:r>
          </w:p>
        </w:tc>
        <w:tc>
          <w:tcPr>
            <w:tcW w:w="759" w:type="dxa"/>
            <w:tcBorders>
              <w:tl2br w:val="nil"/>
              <w:tr2bl w:val="nil"/>
            </w:tcBorders>
            <w:vAlign w:val="center"/>
          </w:tcPr>
          <w:p w:rsidR="002E2645" w:rsidRDefault="00D17E2A">
            <w:pPr>
              <w:topLinePunct/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  <w:r>
              <w:rPr>
                <w:rFonts w:ascii="仿宋" w:eastAsia="仿宋" w:hAnsi="仿宋" w:cs="仿宋_GB2312" w:hint="eastAsia"/>
                <w:b/>
                <w:bCs/>
                <w:szCs w:val="21"/>
              </w:rPr>
              <w:t>分值</w:t>
            </w:r>
          </w:p>
        </w:tc>
      </w:tr>
      <w:tr w:rsidR="002E2645">
        <w:tc>
          <w:tcPr>
            <w:tcW w:w="1242" w:type="dxa"/>
            <w:vMerge w:val="restart"/>
            <w:tcBorders>
              <w:tl2br w:val="nil"/>
              <w:tr2bl w:val="nil"/>
            </w:tcBorders>
            <w:vAlign w:val="center"/>
          </w:tcPr>
          <w:p w:rsidR="002E2645" w:rsidRDefault="002E2645">
            <w:pPr>
              <w:topLinePunct/>
              <w:rPr>
                <w:rFonts w:ascii="仿宋_GB2312" w:eastAsia="仿宋_GB2312" w:hAnsi="仿宋_GB2312" w:cs="仿宋_GB2312"/>
                <w:szCs w:val="21"/>
              </w:rPr>
            </w:pPr>
          </w:p>
          <w:p w:rsidR="002E2645" w:rsidRDefault="00D17E2A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创业计划书内容</w:t>
            </w:r>
          </w:p>
          <w:p w:rsidR="002E2645" w:rsidRDefault="00D17E2A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（17分）</w:t>
            </w:r>
          </w:p>
        </w:tc>
        <w:tc>
          <w:tcPr>
            <w:tcW w:w="1786" w:type="dxa"/>
            <w:tcBorders>
              <w:tl2br w:val="nil"/>
              <w:tr2bl w:val="nil"/>
            </w:tcBorders>
            <w:vAlign w:val="center"/>
          </w:tcPr>
          <w:p w:rsidR="002E2645" w:rsidRDefault="00D17E2A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项目描述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:rsidR="002E2645" w:rsidRDefault="00D17E2A">
            <w:pPr>
              <w:topLinePunct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项目宗旨、背景、介绍</w:t>
            </w:r>
          </w:p>
        </w:tc>
        <w:tc>
          <w:tcPr>
            <w:tcW w:w="759" w:type="dxa"/>
            <w:tcBorders>
              <w:tl2br w:val="nil"/>
              <w:tr2bl w:val="nil"/>
            </w:tcBorders>
            <w:vAlign w:val="center"/>
          </w:tcPr>
          <w:p w:rsidR="002E2645" w:rsidRDefault="00D17E2A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2分</w:t>
            </w:r>
          </w:p>
        </w:tc>
      </w:tr>
      <w:tr w:rsidR="002E2645">
        <w:tc>
          <w:tcPr>
            <w:tcW w:w="1242" w:type="dxa"/>
            <w:vMerge/>
            <w:tcBorders>
              <w:tl2br w:val="nil"/>
              <w:tr2bl w:val="nil"/>
            </w:tcBorders>
            <w:vAlign w:val="center"/>
          </w:tcPr>
          <w:p w:rsidR="002E2645" w:rsidRDefault="002E2645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786" w:type="dxa"/>
            <w:vMerge w:val="restart"/>
            <w:tcBorders>
              <w:tl2br w:val="nil"/>
              <w:tr2bl w:val="nil"/>
            </w:tcBorders>
            <w:vAlign w:val="center"/>
          </w:tcPr>
          <w:p w:rsidR="002E2645" w:rsidRDefault="00D17E2A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产品服务及介绍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:rsidR="002E2645" w:rsidRDefault="00D17E2A">
            <w:pPr>
              <w:topLinePunct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1.清晰的产业背景和市场竞争环境；市场机会和有效的市场需求</w:t>
            </w:r>
          </w:p>
        </w:tc>
        <w:tc>
          <w:tcPr>
            <w:tcW w:w="759" w:type="dxa"/>
            <w:vMerge w:val="restart"/>
            <w:tcBorders>
              <w:tl2br w:val="nil"/>
              <w:tr2bl w:val="nil"/>
            </w:tcBorders>
            <w:vAlign w:val="center"/>
          </w:tcPr>
          <w:p w:rsidR="002E2645" w:rsidRDefault="00D17E2A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2分</w:t>
            </w:r>
          </w:p>
        </w:tc>
      </w:tr>
      <w:tr w:rsidR="002E2645">
        <w:tc>
          <w:tcPr>
            <w:tcW w:w="1242" w:type="dxa"/>
            <w:vMerge/>
            <w:tcBorders>
              <w:tl2br w:val="nil"/>
              <w:tr2bl w:val="nil"/>
            </w:tcBorders>
            <w:vAlign w:val="center"/>
          </w:tcPr>
          <w:p w:rsidR="002E2645" w:rsidRDefault="002E2645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786" w:type="dxa"/>
            <w:vMerge/>
            <w:tcBorders>
              <w:tl2br w:val="nil"/>
              <w:tr2bl w:val="nil"/>
            </w:tcBorders>
            <w:vAlign w:val="center"/>
          </w:tcPr>
          <w:p w:rsidR="002E2645" w:rsidRDefault="002E2645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:rsidR="002E2645" w:rsidRDefault="00D17E2A">
            <w:pPr>
              <w:topLinePunct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2.准确定义所提供的产品、技术、概念产品和服务</w:t>
            </w:r>
          </w:p>
        </w:tc>
        <w:tc>
          <w:tcPr>
            <w:tcW w:w="759" w:type="dxa"/>
            <w:vMerge/>
            <w:tcBorders>
              <w:tl2br w:val="nil"/>
              <w:tr2bl w:val="nil"/>
            </w:tcBorders>
            <w:vAlign w:val="center"/>
          </w:tcPr>
          <w:p w:rsidR="002E2645" w:rsidRDefault="002E2645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2E2645">
        <w:tc>
          <w:tcPr>
            <w:tcW w:w="1242" w:type="dxa"/>
            <w:vMerge/>
            <w:tcBorders>
              <w:tl2br w:val="nil"/>
              <w:tr2bl w:val="nil"/>
            </w:tcBorders>
            <w:vAlign w:val="center"/>
          </w:tcPr>
          <w:p w:rsidR="002E2645" w:rsidRDefault="002E2645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786" w:type="dxa"/>
            <w:vMerge/>
            <w:tcBorders>
              <w:tl2br w:val="nil"/>
              <w:tr2bl w:val="nil"/>
            </w:tcBorders>
            <w:vAlign w:val="center"/>
          </w:tcPr>
          <w:p w:rsidR="002E2645" w:rsidRDefault="002E2645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:rsidR="002E2645" w:rsidRDefault="00D17E2A">
            <w:pPr>
              <w:topLinePunct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3.本项目所具有的独创性、领先性；实现产业化的途径等</w:t>
            </w:r>
          </w:p>
        </w:tc>
        <w:tc>
          <w:tcPr>
            <w:tcW w:w="759" w:type="dxa"/>
            <w:vMerge/>
            <w:tcBorders>
              <w:tl2br w:val="nil"/>
              <w:tr2bl w:val="nil"/>
            </w:tcBorders>
            <w:vAlign w:val="center"/>
          </w:tcPr>
          <w:p w:rsidR="002E2645" w:rsidRDefault="002E2645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2E2645">
        <w:tc>
          <w:tcPr>
            <w:tcW w:w="1242" w:type="dxa"/>
            <w:vMerge/>
            <w:tcBorders>
              <w:tl2br w:val="nil"/>
              <w:tr2bl w:val="nil"/>
            </w:tcBorders>
            <w:vAlign w:val="center"/>
          </w:tcPr>
          <w:p w:rsidR="002E2645" w:rsidRDefault="002E2645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786" w:type="dxa"/>
            <w:vMerge w:val="restart"/>
            <w:tcBorders>
              <w:tl2br w:val="nil"/>
              <w:tr2bl w:val="nil"/>
            </w:tcBorders>
            <w:vAlign w:val="center"/>
          </w:tcPr>
          <w:p w:rsidR="002E2645" w:rsidRDefault="00D17E2A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行业与市场分析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:rsidR="002E2645" w:rsidRDefault="00D17E2A">
            <w:pPr>
              <w:topLinePunct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1.了解参赛创业项目的市场现状，并对目标市场进行较明确定位</w:t>
            </w:r>
          </w:p>
        </w:tc>
        <w:tc>
          <w:tcPr>
            <w:tcW w:w="759" w:type="dxa"/>
            <w:vMerge w:val="restart"/>
            <w:tcBorders>
              <w:tl2br w:val="nil"/>
              <w:tr2bl w:val="nil"/>
            </w:tcBorders>
            <w:vAlign w:val="center"/>
          </w:tcPr>
          <w:p w:rsidR="002E2645" w:rsidRDefault="002E2645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  <w:p w:rsidR="002E2645" w:rsidRDefault="00D17E2A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2分</w:t>
            </w:r>
          </w:p>
        </w:tc>
      </w:tr>
      <w:tr w:rsidR="002E2645">
        <w:tc>
          <w:tcPr>
            <w:tcW w:w="1242" w:type="dxa"/>
            <w:vMerge/>
            <w:tcBorders>
              <w:tl2br w:val="nil"/>
              <w:tr2bl w:val="nil"/>
            </w:tcBorders>
            <w:vAlign w:val="center"/>
          </w:tcPr>
          <w:p w:rsidR="002E2645" w:rsidRDefault="002E2645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786" w:type="dxa"/>
            <w:vMerge/>
            <w:tcBorders>
              <w:tl2br w:val="nil"/>
              <w:tr2bl w:val="nil"/>
            </w:tcBorders>
            <w:vAlign w:val="center"/>
          </w:tcPr>
          <w:p w:rsidR="002E2645" w:rsidRDefault="002E2645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:rsidR="002E2645" w:rsidRDefault="00D17E2A">
            <w:pPr>
              <w:topLinePunct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2.针对顾客现实需求进行分析，确定顾客购买原则</w:t>
            </w:r>
          </w:p>
        </w:tc>
        <w:tc>
          <w:tcPr>
            <w:tcW w:w="759" w:type="dxa"/>
            <w:vMerge/>
            <w:tcBorders>
              <w:tl2br w:val="nil"/>
              <w:tr2bl w:val="nil"/>
            </w:tcBorders>
            <w:vAlign w:val="center"/>
          </w:tcPr>
          <w:p w:rsidR="002E2645" w:rsidRDefault="002E2645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2E2645">
        <w:tc>
          <w:tcPr>
            <w:tcW w:w="1242" w:type="dxa"/>
            <w:vMerge/>
            <w:tcBorders>
              <w:tl2br w:val="nil"/>
              <w:tr2bl w:val="nil"/>
            </w:tcBorders>
            <w:vAlign w:val="center"/>
          </w:tcPr>
          <w:p w:rsidR="002E2645" w:rsidRDefault="002E2645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786" w:type="dxa"/>
            <w:vMerge/>
            <w:tcBorders>
              <w:tl2br w:val="nil"/>
              <w:tr2bl w:val="nil"/>
            </w:tcBorders>
            <w:vAlign w:val="center"/>
          </w:tcPr>
          <w:p w:rsidR="002E2645" w:rsidRDefault="002E2645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:rsidR="002E2645" w:rsidRDefault="00D17E2A">
            <w:pPr>
              <w:topLinePunct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3.对竞争对手进行准确分析，制定竞争策略，避免壁垒</w:t>
            </w:r>
          </w:p>
        </w:tc>
        <w:tc>
          <w:tcPr>
            <w:tcW w:w="759" w:type="dxa"/>
            <w:vMerge/>
            <w:tcBorders>
              <w:tl2br w:val="nil"/>
              <w:tr2bl w:val="nil"/>
            </w:tcBorders>
            <w:vAlign w:val="center"/>
          </w:tcPr>
          <w:p w:rsidR="002E2645" w:rsidRDefault="002E2645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2E2645">
        <w:tc>
          <w:tcPr>
            <w:tcW w:w="1242" w:type="dxa"/>
            <w:vMerge/>
            <w:tcBorders>
              <w:tl2br w:val="nil"/>
              <w:tr2bl w:val="nil"/>
            </w:tcBorders>
            <w:vAlign w:val="center"/>
          </w:tcPr>
          <w:p w:rsidR="002E2645" w:rsidRDefault="002E2645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786" w:type="dxa"/>
            <w:vMerge w:val="restart"/>
            <w:tcBorders>
              <w:tl2br w:val="nil"/>
              <w:tr2bl w:val="nil"/>
            </w:tcBorders>
            <w:vAlign w:val="center"/>
          </w:tcPr>
          <w:p w:rsidR="002E2645" w:rsidRDefault="002E2645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  <w:p w:rsidR="002E2645" w:rsidRDefault="00D17E2A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公司战略及营销策略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:rsidR="002E2645" w:rsidRDefault="00D17E2A">
            <w:pPr>
              <w:topLinePunct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1.具有具体的市场计划，对业务类型，市场层面，分销渠道及类型，市场占有率等进行定位</w:t>
            </w:r>
          </w:p>
        </w:tc>
        <w:tc>
          <w:tcPr>
            <w:tcW w:w="759" w:type="dxa"/>
            <w:vMerge w:val="restart"/>
            <w:tcBorders>
              <w:tl2br w:val="nil"/>
              <w:tr2bl w:val="nil"/>
            </w:tcBorders>
            <w:vAlign w:val="center"/>
          </w:tcPr>
          <w:p w:rsidR="002E2645" w:rsidRDefault="002E2645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  <w:p w:rsidR="002E2645" w:rsidRDefault="002E2645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  <w:p w:rsidR="002E2645" w:rsidRDefault="00D17E2A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3分</w:t>
            </w:r>
          </w:p>
          <w:p w:rsidR="002E2645" w:rsidRDefault="002E2645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2E2645">
        <w:tc>
          <w:tcPr>
            <w:tcW w:w="1242" w:type="dxa"/>
            <w:vMerge/>
            <w:tcBorders>
              <w:tl2br w:val="nil"/>
              <w:tr2bl w:val="nil"/>
            </w:tcBorders>
            <w:vAlign w:val="center"/>
          </w:tcPr>
          <w:p w:rsidR="002E2645" w:rsidRDefault="002E2645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786" w:type="dxa"/>
            <w:vMerge/>
            <w:tcBorders>
              <w:tl2br w:val="nil"/>
              <w:tr2bl w:val="nil"/>
            </w:tcBorders>
            <w:vAlign w:val="center"/>
          </w:tcPr>
          <w:p w:rsidR="002E2645" w:rsidRDefault="002E2645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:rsidR="002E2645" w:rsidRDefault="00D17E2A">
            <w:pPr>
              <w:topLinePunct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2.明确销售策略，明晰销售渠道及伙伴，具有适度的销售周期</w:t>
            </w:r>
          </w:p>
        </w:tc>
        <w:tc>
          <w:tcPr>
            <w:tcW w:w="759" w:type="dxa"/>
            <w:vMerge/>
            <w:tcBorders>
              <w:tl2br w:val="nil"/>
              <w:tr2bl w:val="nil"/>
            </w:tcBorders>
            <w:vAlign w:val="center"/>
          </w:tcPr>
          <w:p w:rsidR="002E2645" w:rsidRDefault="002E2645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2E2645">
        <w:tc>
          <w:tcPr>
            <w:tcW w:w="1242" w:type="dxa"/>
            <w:vMerge/>
            <w:tcBorders>
              <w:tl2br w:val="nil"/>
              <w:tr2bl w:val="nil"/>
            </w:tcBorders>
            <w:vAlign w:val="center"/>
          </w:tcPr>
          <w:p w:rsidR="002E2645" w:rsidRDefault="002E2645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786" w:type="dxa"/>
            <w:vMerge/>
            <w:tcBorders>
              <w:tl2br w:val="nil"/>
              <w:tr2bl w:val="nil"/>
            </w:tcBorders>
            <w:vAlign w:val="center"/>
          </w:tcPr>
          <w:p w:rsidR="002E2645" w:rsidRDefault="002E2645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:rsidR="002E2645" w:rsidRDefault="00D17E2A">
            <w:pPr>
              <w:topLinePunct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3.定价策略制定具有客观性，市场弹性强度佳</w:t>
            </w:r>
          </w:p>
        </w:tc>
        <w:tc>
          <w:tcPr>
            <w:tcW w:w="759" w:type="dxa"/>
            <w:vMerge/>
            <w:tcBorders>
              <w:tl2br w:val="nil"/>
              <w:tr2bl w:val="nil"/>
            </w:tcBorders>
            <w:vAlign w:val="center"/>
          </w:tcPr>
          <w:p w:rsidR="002E2645" w:rsidRDefault="002E2645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2E2645">
        <w:trPr>
          <w:trHeight w:val="461"/>
        </w:trPr>
        <w:tc>
          <w:tcPr>
            <w:tcW w:w="1242" w:type="dxa"/>
            <w:vMerge/>
            <w:tcBorders>
              <w:tl2br w:val="nil"/>
              <w:tr2bl w:val="nil"/>
            </w:tcBorders>
            <w:vAlign w:val="center"/>
          </w:tcPr>
          <w:p w:rsidR="002E2645" w:rsidRDefault="002E2645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786" w:type="dxa"/>
            <w:vMerge/>
            <w:tcBorders>
              <w:tl2br w:val="nil"/>
              <w:tr2bl w:val="nil"/>
            </w:tcBorders>
            <w:vAlign w:val="center"/>
          </w:tcPr>
          <w:p w:rsidR="002E2645" w:rsidRDefault="002E2645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:rsidR="002E2645" w:rsidRDefault="00D17E2A">
            <w:pPr>
              <w:topLinePunct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4.市场联络形式多样新颖，符合产品营销计划</w:t>
            </w:r>
          </w:p>
        </w:tc>
        <w:tc>
          <w:tcPr>
            <w:tcW w:w="759" w:type="dxa"/>
            <w:vMerge/>
            <w:tcBorders>
              <w:tl2br w:val="nil"/>
              <w:tr2bl w:val="nil"/>
            </w:tcBorders>
            <w:vAlign w:val="center"/>
          </w:tcPr>
          <w:p w:rsidR="002E2645" w:rsidRDefault="002E2645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2E2645">
        <w:tc>
          <w:tcPr>
            <w:tcW w:w="1242" w:type="dxa"/>
            <w:vMerge/>
            <w:tcBorders>
              <w:tl2br w:val="nil"/>
              <w:tr2bl w:val="nil"/>
            </w:tcBorders>
            <w:vAlign w:val="center"/>
          </w:tcPr>
          <w:p w:rsidR="002E2645" w:rsidRDefault="002E2645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786" w:type="dxa"/>
            <w:tcBorders>
              <w:tl2br w:val="nil"/>
              <w:tr2bl w:val="nil"/>
            </w:tcBorders>
            <w:vAlign w:val="center"/>
          </w:tcPr>
          <w:p w:rsidR="002E2645" w:rsidRDefault="00D17E2A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团队能力和经营管理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:rsidR="002E2645" w:rsidRDefault="00D17E2A">
            <w:pPr>
              <w:topLinePunct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对本公司的团队能力有清晰的认识。掌握并熟知本团队经营管理的特点，明确公司经营和组织结构情况。</w:t>
            </w:r>
          </w:p>
        </w:tc>
        <w:tc>
          <w:tcPr>
            <w:tcW w:w="759" w:type="dxa"/>
            <w:tcBorders>
              <w:tl2br w:val="nil"/>
              <w:tr2bl w:val="nil"/>
            </w:tcBorders>
            <w:vAlign w:val="center"/>
          </w:tcPr>
          <w:p w:rsidR="002E2645" w:rsidRDefault="00D17E2A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2分</w:t>
            </w:r>
          </w:p>
        </w:tc>
      </w:tr>
      <w:tr w:rsidR="002E2645">
        <w:tc>
          <w:tcPr>
            <w:tcW w:w="1242" w:type="dxa"/>
            <w:vMerge/>
            <w:tcBorders>
              <w:tl2br w:val="nil"/>
              <w:tr2bl w:val="nil"/>
            </w:tcBorders>
            <w:vAlign w:val="center"/>
          </w:tcPr>
          <w:p w:rsidR="002E2645" w:rsidRDefault="002E2645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786" w:type="dxa"/>
            <w:vMerge w:val="restart"/>
            <w:tcBorders>
              <w:tl2br w:val="nil"/>
              <w:tr2bl w:val="nil"/>
            </w:tcBorders>
            <w:vAlign w:val="center"/>
          </w:tcPr>
          <w:p w:rsidR="002E2645" w:rsidRDefault="002E2645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  <w:p w:rsidR="002E2645" w:rsidRDefault="00D17E2A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资本管理</w:t>
            </w:r>
          </w:p>
          <w:p w:rsidR="002E2645" w:rsidRDefault="002E2645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:rsidR="002E2645" w:rsidRDefault="00D17E2A">
            <w:pPr>
              <w:topLinePunct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有完善且符合实际的企业融资方案，并进行企业的资本回报率的测算。</w:t>
            </w:r>
          </w:p>
        </w:tc>
        <w:tc>
          <w:tcPr>
            <w:tcW w:w="759" w:type="dxa"/>
            <w:vMerge w:val="restart"/>
            <w:tcBorders>
              <w:tl2br w:val="nil"/>
              <w:tr2bl w:val="nil"/>
            </w:tcBorders>
            <w:vAlign w:val="center"/>
          </w:tcPr>
          <w:p w:rsidR="002E2645" w:rsidRDefault="002E2645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  <w:p w:rsidR="002E2645" w:rsidRDefault="00D17E2A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2分</w:t>
            </w:r>
          </w:p>
          <w:p w:rsidR="002E2645" w:rsidRDefault="002E2645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2E2645">
        <w:tc>
          <w:tcPr>
            <w:tcW w:w="1242" w:type="dxa"/>
            <w:vMerge/>
            <w:tcBorders>
              <w:tl2br w:val="nil"/>
              <w:tr2bl w:val="nil"/>
            </w:tcBorders>
            <w:vAlign w:val="center"/>
          </w:tcPr>
          <w:p w:rsidR="002E2645" w:rsidRDefault="002E2645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786" w:type="dxa"/>
            <w:vMerge/>
            <w:tcBorders>
              <w:tl2br w:val="nil"/>
              <w:tr2bl w:val="nil"/>
            </w:tcBorders>
            <w:vAlign w:val="center"/>
          </w:tcPr>
          <w:p w:rsidR="002E2645" w:rsidRDefault="002E2645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:rsidR="002E2645" w:rsidRDefault="00D17E2A">
            <w:pPr>
              <w:topLinePunct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财务计划完整详细，对现金流预测，盈亏平衡和资金需求情况进行准确的分析，并制作损益预估表、资产负债预估表</w:t>
            </w:r>
          </w:p>
        </w:tc>
        <w:tc>
          <w:tcPr>
            <w:tcW w:w="759" w:type="dxa"/>
            <w:vMerge/>
            <w:tcBorders>
              <w:tl2br w:val="nil"/>
              <w:tr2bl w:val="nil"/>
            </w:tcBorders>
            <w:vAlign w:val="center"/>
          </w:tcPr>
          <w:p w:rsidR="002E2645" w:rsidRDefault="002E2645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2E2645">
        <w:tc>
          <w:tcPr>
            <w:tcW w:w="1242" w:type="dxa"/>
            <w:vMerge/>
            <w:tcBorders>
              <w:tl2br w:val="nil"/>
              <w:tr2bl w:val="nil"/>
            </w:tcBorders>
            <w:vAlign w:val="center"/>
          </w:tcPr>
          <w:p w:rsidR="002E2645" w:rsidRDefault="002E2645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786" w:type="dxa"/>
            <w:tcBorders>
              <w:tl2br w:val="nil"/>
              <w:tr2bl w:val="nil"/>
            </w:tcBorders>
            <w:vAlign w:val="center"/>
          </w:tcPr>
          <w:p w:rsidR="002E2645" w:rsidRDefault="00D17E2A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实施进度计划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:rsidR="002E2645" w:rsidRDefault="00D17E2A">
            <w:pPr>
              <w:topLinePunct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短、中、长期目标</w:t>
            </w:r>
          </w:p>
        </w:tc>
        <w:tc>
          <w:tcPr>
            <w:tcW w:w="759" w:type="dxa"/>
            <w:tcBorders>
              <w:tl2br w:val="nil"/>
              <w:tr2bl w:val="nil"/>
            </w:tcBorders>
            <w:vAlign w:val="center"/>
          </w:tcPr>
          <w:p w:rsidR="002E2645" w:rsidRDefault="00D17E2A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2分</w:t>
            </w:r>
          </w:p>
        </w:tc>
      </w:tr>
      <w:tr w:rsidR="002E2645">
        <w:trPr>
          <w:trHeight w:val="434"/>
        </w:trPr>
        <w:tc>
          <w:tcPr>
            <w:tcW w:w="1242" w:type="dxa"/>
            <w:vMerge/>
            <w:tcBorders>
              <w:tl2br w:val="nil"/>
              <w:tr2bl w:val="nil"/>
            </w:tcBorders>
            <w:vAlign w:val="center"/>
          </w:tcPr>
          <w:p w:rsidR="002E2645" w:rsidRDefault="002E2645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786" w:type="dxa"/>
            <w:tcBorders>
              <w:tl2br w:val="nil"/>
              <w:tr2bl w:val="nil"/>
            </w:tcBorders>
            <w:vAlign w:val="center"/>
          </w:tcPr>
          <w:p w:rsidR="002E2645" w:rsidRDefault="00D17E2A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风险控制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:rsidR="002E2645" w:rsidRDefault="00D17E2A">
            <w:pPr>
              <w:topLinePunct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具有针对市场风险的防范机制，防御策略实用有效</w:t>
            </w:r>
          </w:p>
        </w:tc>
        <w:tc>
          <w:tcPr>
            <w:tcW w:w="759" w:type="dxa"/>
            <w:tcBorders>
              <w:tl2br w:val="nil"/>
              <w:tr2bl w:val="nil"/>
            </w:tcBorders>
            <w:vAlign w:val="center"/>
          </w:tcPr>
          <w:p w:rsidR="002E2645" w:rsidRDefault="00D17E2A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2分</w:t>
            </w:r>
          </w:p>
        </w:tc>
      </w:tr>
      <w:tr w:rsidR="002E2645">
        <w:tc>
          <w:tcPr>
            <w:tcW w:w="1242" w:type="dxa"/>
            <w:vMerge w:val="restart"/>
            <w:tcBorders>
              <w:tl2br w:val="nil"/>
              <w:tr2bl w:val="nil"/>
            </w:tcBorders>
            <w:vAlign w:val="center"/>
          </w:tcPr>
          <w:p w:rsidR="002E2645" w:rsidRDefault="002E2645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  <w:p w:rsidR="002E2645" w:rsidRDefault="002E2645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  <w:p w:rsidR="002E2645" w:rsidRDefault="00D17E2A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总体设计</w:t>
            </w:r>
          </w:p>
          <w:p w:rsidR="002E2645" w:rsidRDefault="00D17E2A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（3分）</w:t>
            </w:r>
          </w:p>
        </w:tc>
        <w:tc>
          <w:tcPr>
            <w:tcW w:w="1786" w:type="dxa"/>
            <w:tcBorders>
              <w:tl2br w:val="nil"/>
              <w:tr2bl w:val="nil"/>
            </w:tcBorders>
            <w:vAlign w:val="center"/>
          </w:tcPr>
          <w:p w:rsidR="002E2645" w:rsidRDefault="00D17E2A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作品完整性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:rsidR="002E2645" w:rsidRDefault="00D17E2A">
            <w:pPr>
              <w:topLinePunct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内容完整，对项目、市场现状、销售策略、服务、财务计划和风险控制等进行全面分析，提出自己完整的创业思路</w:t>
            </w:r>
          </w:p>
        </w:tc>
        <w:tc>
          <w:tcPr>
            <w:tcW w:w="759" w:type="dxa"/>
            <w:vMerge w:val="restart"/>
            <w:tcBorders>
              <w:tl2br w:val="nil"/>
              <w:tr2bl w:val="nil"/>
            </w:tcBorders>
            <w:vAlign w:val="center"/>
          </w:tcPr>
          <w:p w:rsidR="002E2645" w:rsidRDefault="00D17E2A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3分</w:t>
            </w:r>
          </w:p>
        </w:tc>
      </w:tr>
      <w:tr w:rsidR="002E2645">
        <w:tc>
          <w:tcPr>
            <w:tcW w:w="1242" w:type="dxa"/>
            <w:vMerge/>
            <w:tcBorders>
              <w:tl2br w:val="nil"/>
              <w:tr2bl w:val="nil"/>
            </w:tcBorders>
            <w:vAlign w:val="center"/>
          </w:tcPr>
          <w:p w:rsidR="002E2645" w:rsidRDefault="002E2645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1786" w:type="dxa"/>
            <w:tcBorders>
              <w:tl2br w:val="nil"/>
              <w:tr2bl w:val="nil"/>
            </w:tcBorders>
            <w:vAlign w:val="center"/>
          </w:tcPr>
          <w:p w:rsidR="002E2645" w:rsidRDefault="00D17E2A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作品思路和逻辑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:rsidR="002E2645" w:rsidRDefault="00D17E2A">
            <w:pPr>
              <w:topLinePunct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创业计划书设计思路清晰、逻辑合理，能准确把握创业计划书的核心与关键</w:t>
            </w:r>
          </w:p>
        </w:tc>
        <w:tc>
          <w:tcPr>
            <w:tcW w:w="759" w:type="dxa"/>
            <w:vMerge/>
            <w:tcBorders>
              <w:tl2br w:val="nil"/>
              <w:tr2bl w:val="nil"/>
            </w:tcBorders>
          </w:tcPr>
          <w:p w:rsidR="002E2645" w:rsidRDefault="002E2645">
            <w:pPr>
              <w:topLinePunct/>
              <w:rPr>
                <w:rFonts w:ascii="仿宋" w:eastAsia="仿宋" w:hAnsi="仿宋" w:cs="仿宋_GB2312"/>
                <w:szCs w:val="21"/>
              </w:rPr>
            </w:pPr>
          </w:p>
        </w:tc>
      </w:tr>
      <w:tr w:rsidR="002E2645">
        <w:trPr>
          <w:trHeight w:val="393"/>
        </w:trPr>
        <w:tc>
          <w:tcPr>
            <w:tcW w:w="1242" w:type="dxa"/>
            <w:vMerge/>
            <w:tcBorders>
              <w:tl2br w:val="nil"/>
              <w:tr2bl w:val="nil"/>
            </w:tcBorders>
            <w:vAlign w:val="center"/>
          </w:tcPr>
          <w:p w:rsidR="002E2645" w:rsidRDefault="002E2645">
            <w:pPr>
              <w:topLinePunct/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1786" w:type="dxa"/>
            <w:tcBorders>
              <w:tl2br w:val="nil"/>
              <w:tr2bl w:val="nil"/>
            </w:tcBorders>
            <w:vAlign w:val="center"/>
          </w:tcPr>
          <w:p w:rsidR="002E2645" w:rsidRDefault="00D17E2A">
            <w:pPr>
              <w:topLinePunct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作品美观性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:rsidR="002E2645" w:rsidRDefault="00D17E2A">
            <w:pPr>
              <w:topLinePunct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格式清晰，版面大方美观，创意新颖</w:t>
            </w:r>
          </w:p>
        </w:tc>
        <w:tc>
          <w:tcPr>
            <w:tcW w:w="759" w:type="dxa"/>
            <w:vMerge/>
            <w:tcBorders>
              <w:tl2br w:val="nil"/>
              <w:tr2bl w:val="nil"/>
            </w:tcBorders>
          </w:tcPr>
          <w:p w:rsidR="002E2645" w:rsidRDefault="002E2645">
            <w:pPr>
              <w:topLinePunct/>
              <w:rPr>
                <w:rFonts w:ascii="仿宋" w:eastAsia="仿宋" w:hAnsi="仿宋" w:cs="仿宋_GB2312"/>
                <w:szCs w:val="21"/>
              </w:rPr>
            </w:pPr>
          </w:p>
        </w:tc>
      </w:tr>
    </w:tbl>
    <w:p w:rsidR="002E2645" w:rsidRDefault="002E2645"/>
    <w:sectPr w:rsidR="002E26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9612BF"/>
    <w:rsid w:val="002641AD"/>
    <w:rsid w:val="002E2645"/>
    <w:rsid w:val="00CC087A"/>
    <w:rsid w:val="00D17E2A"/>
    <w:rsid w:val="78961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Theme="minorEastAsia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Theme="minorEastAsia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118</Words>
  <Characters>678</Characters>
  <Application>Microsoft Office Word</Application>
  <DocSecurity>0</DocSecurity>
  <Lines>5</Lines>
  <Paragraphs>1</Paragraphs>
  <ScaleCrop>false</ScaleCrop>
  <Company>微软中国</Company>
  <LinksUpToDate>false</LinksUpToDate>
  <CharactersWithSpaces>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沈圣普</cp:lastModifiedBy>
  <cp:revision>7</cp:revision>
  <dcterms:created xsi:type="dcterms:W3CDTF">2019-10-11T00:40:00Z</dcterms:created>
  <dcterms:modified xsi:type="dcterms:W3CDTF">2019-11-06T01:18:00Z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